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54" w:rsidRPr="0096162D" w:rsidRDefault="00672F54" w:rsidP="002E0ADE">
      <w:pPr>
        <w:jc w:val="center"/>
        <w:rPr>
          <w:rFonts w:asciiTheme="majorHAnsi" w:hAnsiTheme="majorHAnsi" w:cstheme="minorHAnsi"/>
          <w:b/>
          <w:color w:val="0F243E" w:themeColor="text2" w:themeShade="80"/>
          <w:sz w:val="20"/>
          <w:szCs w:val="20"/>
          <w:lang w:val="ro-RO"/>
        </w:rPr>
      </w:pPr>
      <w:r w:rsidRPr="0096162D">
        <w:rPr>
          <w:rFonts w:asciiTheme="majorHAnsi" w:hAnsiTheme="majorHAnsi" w:cstheme="minorHAnsi"/>
          <w:b/>
          <w:color w:val="0F243E" w:themeColor="text2" w:themeShade="80"/>
          <w:sz w:val="20"/>
          <w:szCs w:val="20"/>
          <w:lang w:val="ro-RO"/>
        </w:rPr>
        <w:t>FIȘA PROIECTULUI:</w:t>
      </w:r>
    </w:p>
    <w:tbl>
      <w:tblPr>
        <w:tblStyle w:val="MediumList1-Accen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E0ADE" w:rsidRPr="0096162D" w:rsidTr="00073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80043F" w:rsidRPr="0096162D" w:rsidRDefault="00AF68DE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Titlul proiectului</w:t>
            </w:r>
            <w:r w:rsidRPr="0096162D">
              <w:rPr>
                <w:rFonts w:cstheme="minorHAnsi"/>
                <w:color w:val="244061" w:themeColor="accent1" w:themeShade="80"/>
                <w:sz w:val="20"/>
                <w:szCs w:val="20"/>
                <w:u w:val="single"/>
                <w:lang w:val="ro-RO"/>
              </w:rPr>
              <w:t>:</w:t>
            </w:r>
            <w:r w:rsidRPr="0096162D"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u w:val="single"/>
                <w:lang w:val="ro-RO"/>
              </w:rPr>
              <w:t xml:space="preserve"> </w:t>
            </w:r>
          </w:p>
          <w:p w:rsidR="0080043F" w:rsidRPr="0096162D" w:rsidRDefault="00AF68DE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u w:val="single"/>
                <w:lang w:val="ro-RO"/>
              </w:rPr>
              <w:t xml:space="preserve"> </w:t>
            </w:r>
          </w:p>
        </w:tc>
      </w:tr>
      <w:tr w:rsidR="002E0ADE" w:rsidRPr="0096162D" w:rsidTr="0007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80043F" w:rsidRPr="0096162D" w:rsidRDefault="0080043F" w:rsidP="002E0ADE">
            <w:pPr>
              <w:tabs>
                <w:tab w:val="left" w:pos="1201"/>
              </w:tabs>
              <w:jc w:val="center"/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  <w:t>O CALITATE MAI BUNĂ A SERVICIILOR DE ASISTENŢĂ JURIDICĂ GARANTATĂ DE STAT PRESTATE COPIILOR ÎN CONTACT CU LEGEA</w:t>
            </w:r>
          </w:p>
          <w:p w:rsidR="0080043F" w:rsidRPr="0096162D" w:rsidRDefault="0080043F" w:rsidP="002E0ADE">
            <w:pPr>
              <w:jc w:val="both"/>
              <w:rPr>
                <w:rFonts w:asciiTheme="majorHAnsi" w:hAnsiTheme="majorHAnsi" w:cstheme="minorHAnsi"/>
                <w:b w:val="0"/>
                <w:color w:val="244061" w:themeColor="accent1" w:themeShade="80"/>
                <w:sz w:val="20"/>
                <w:szCs w:val="20"/>
                <w:u w:val="single"/>
                <w:lang w:val="ro-RO"/>
              </w:rPr>
            </w:pPr>
          </w:p>
        </w:tc>
      </w:tr>
      <w:tr w:rsidR="002E0ADE" w:rsidRPr="0096162D" w:rsidTr="00073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F68DE" w:rsidRPr="0096162D" w:rsidRDefault="00AF68DE" w:rsidP="002E0ADE">
            <w:pPr>
              <w:jc w:val="both"/>
              <w:rPr>
                <w:rFonts w:asciiTheme="majorHAnsi" w:hAnsiTheme="majorHAnsi"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  <w:t>Donator:</w:t>
            </w:r>
            <w:r w:rsidRPr="0096162D">
              <w:rPr>
                <w:rFonts w:asciiTheme="majorHAnsi" w:hAnsiTheme="majorHAnsi"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              </w:t>
            </w:r>
            <w:r w:rsidRPr="0096162D"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  <w:t>UNICEF MOLDOVA</w:t>
            </w:r>
          </w:p>
        </w:tc>
      </w:tr>
      <w:tr w:rsidR="002E0ADE" w:rsidRPr="0096162D" w:rsidTr="0007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F68DE" w:rsidRPr="0096162D" w:rsidRDefault="00AF68DE" w:rsidP="002E0ADE">
            <w:pPr>
              <w:jc w:val="both"/>
              <w:rPr>
                <w:rFonts w:asciiTheme="majorHAnsi" w:hAnsiTheme="majorHAnsi"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  <w:t>Durata:                 01 octombrie 2014 -  31 decembrie 2015</w:t>
            </w:r>
          </w:p>
        </w:tc>
      </w:tr>
      <w:tr w:rsidR="002E0ADE" w:rsidRPr="0096162D" w:rsidTr="00073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F68DE" w:rsidRPr="0096162D" w:rsidRDefault="00AF68DE" w:rsidP="002E0ADE">
            <w:pPr>
              <w:jc w:val="both"/>
              <w:rPr>
                <w:rFonts w:asciiTheme="majorHAnsi" w:hAnsiTheme="majorHAnsi"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  <w:t>Regiunea:            Republica Moldova</w:t>
            </w:r>
          </w:p>
        </w:tc>
      </w:tr>
    </w:tbl>
    <w:p w:rsidR="00672F54" w:rsidRPr="0096162D" w:rsidRDefault="00672F54" w:rsidP="002E0ADE">
      <w:pPr>
        <w:tabs>
          <w:tab w:val="left" w:pos="486"/>
        </w:tabs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785"/>
      </w:tblGrid>
      <w:tr w:rsidR="002E0ADE" w:rsidRPr="0096162D" w:rsidTr="00073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</w:tcPr>
          <w:p w:rsidR="009F60AA" w:rsidRPr="0096162D" w:rsidRDefault="009F60AA" w:rsidP="002E0ADE">
            <w:pPr>
              <w:jc w:val="both"/>
              <w:rPr>
                <w:color w:val="0F243E" w:themeColor="text2" w:themeShade="80"/>
                <w:sz w:val="20"/>
                <w:szCs w:val="20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Scopul proiectului:</w:t>
            </w:r>
            <w:r w:rsidRPr="0096162D">
              <w:rPr>
                <w:color w:val="0F243E" w:themeColor="text2" w:themeShade="80"/>
                <w:sz w:val="20"/>
                <w:szCs w:val="20"/>
                <w:lang w:val="ro-RO"/>
              </w:rPr>
              <w:t xml:space="preserve"> </w:t>
            </w:r>
          </w:p>
        </w:tc>
      </w:tr>
      <w:tr w:rsidR="002E0ADE" w:rsidRPr="0096162D" w:rsidTr="0007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</w:tcPr>
          <w:p w:rsidR="0080043F" w:rsidRPr="0096162D" w:rsidRDefault="0080043F" w:rsidP="002E0ADE">
            <w:pPr>
              <w:jc w:val="both"/>
              <w:rPr>
                <w:rFonts w:asciiTheme="majorHAnsi" w:hAnsiTheme="majorHAnsi" w:cstheme="majorBid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Asigurarea calităţii asistenţei juridice garantate de stat prestate copiilor în contact cu legea prin elaborarea standardelor de calitate şi implementarea mecanismului de</w:t>
            </w:r>
            <w:r w:rsidR="000737C3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 moni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t</w:t>
            </w:r>
            <w:r w:rsidR="000737C3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o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rizare externă a calităţii. </w:t>
            </w:r>
          </w:p>
        </w:tc>
      </w:tr>
    </w:tbl>
    <w:p w:rsidR="00672F54" w:rsidRPr="0096162D" w:rsidRDefault="00672F54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  <w:bookmarkStart w:id="0" w:name="_GoBack"/>
      <w:bookmarkEnd w:id="0"/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904"/>
      </w:tblGrid>
      <w:tr w:rsidR="002E0ADE" w:rsidRPr="0096162D" w:rsidTr="00073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80043F" w:rsidRPr="0096162D" w:rsidRDefault="0080043F" w:rsidP="002E0ADE">
            <w:pPr>
              <w:spacing w:line="276" w:lineRule="auto"/>
              <w:jc w:val="both"/>
              <w:rPr>
                <w:rFonts w:cstheme="minorHAnsi"/>
                <w:b w:val="0"/>
                <w:color w:val="0F243E" w:themeColor="text2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Obiectiv 1.</w:t>
            </w:r>
          </w:p>
          <w:p w:rsidR="0080043F" w:rsidRPr="0096162D" w:rsidRDefault="0080043F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</w:p>
        </w:tc>
      </w:tr>
      <w:tr w:rsidR="002E0ADE" w:rsidRPr="0096162D" w:rsidTr="0007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80043F" w:rsidRPr="0096162D" w:rsidRDefault="0036446C" w:rsidP="002E0ADE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 w:cstheme="minorHAnsi"/>
                <w:color w:val="244061" w:themeColor="accent1" w:themeShade="80"/>
                <w:sz w:val="20"/>
                <w:szCs w:val="20"/>
                <w:lang w:val="ro-RO"/>
              </w:rPr>
              <w:t>Elaborarea participativă a standardelor de calitate şi a instrumentelor de monitorizare a calităţii asistenţei juridice garantate de stat  prestate copiilor în contact cu legea.</w:t>
            </w:r>
          </w:p>
        </w:tc>
      </w:tr>
      <w:tr w:rsidR="002E0ADE" w:rsidRPr="0096162D" w:rsidTr="00073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80043F" w:rsidRPr="0096162D" w:rsidRDefault="004E18BA" w:rsidP="002E0AD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Elaborarea standardelor de calitate privind acordarea asistenţei juridice garantate de stat copiilor în conflict cu legea, victime şi martori ale infracţiunilor;</w:t>
            </w:r>
          </w:p>
        </w:tc>
      </w:tr>
      <w:tr w:rsidR="002E0ADE" w:rsidRPr="0096162D" w:rsidTr="0007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80043F" w:rsidRPr="0096162D" w:rsidRDefault="00660D9E" w:rsidP="002E0AD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Elaborarea instrumentelor de monitorizare a calităţii asistenţei juridice garantate de stat pe cauzele cu implicarea copiilor în conflict cu legea, victime şi martori ale infracţiunilor;</w:t>
            </w:r>
          </w:p>
        </w:tc>
      </w:tr>
      <w:tr w:rsidR="002E0ADE" w:rsidRPr="0096162D" w:rsidTr="00073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80043F" w:rsidRPr="0096162D" w:rsidRDefault="00660D9E" w:rsidP="002E0AD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Elaborarea materialului informativ cu privire la asist</w:t>
            </w:r>
            <w:r w:rsidR="00071D41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enţa juridică garantată de stat.</w:t>
            </w:r>
          </w:p>
        </w:tc>
      </w:tr>
    </w:tbl>
    <w:p w:rsidR="00AF68DE" w:rsidRPr="0096162D" w:rsidRDefault="00AF68DE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904"/>
      </w:tblGrid>
      <w:tr w:rsidR="002E0ADE" w:rsidRPr="0096162D" w:rsidTr="00A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71D41" w:rsidRPr="0096162D" w:rsidRDefault="00071D41" w:rsidP="002E0ADE">
            <w:pPr>
              <w:spacing w:line="276" w:lineRule="auto"/>
              <w:jc w:val="both"/>
              <w:rPr>
                <w:rFonts w:cstheme="minorHAnsi"/>
                <w:b w:val="0"/>
                <w:color w:val="0F243E" w:themeColor="text2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Obiectiv 2.</w:t>
            </w:r>
          </w:p>
          <w:p w:rsidR="00071D41" w:rsidRPr="0096162D" w:rsidRDefault="00071D41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71D41" w:rsidRPr="0096162D" w:rsidRDefault="0036446C" w:rsidP="002E0ADE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Formarea de formatori în vederea asigurării instruirii continue calitative în dom</w:t>
            </w:r>
            <w:r w:rsidR="005305FA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e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niul protecţiei drepturilor copiilor în sistemul de justiţie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71D41" w:rsidRPr="0096162D" w:rsidRDefault="005305FA" w:rsidP="002E0AD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15 avocaţi </w:t>
            </w:r>
            <w:r w:rsidR="005D163B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participanţi ai cursului de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formare de formatori</w:t>
            </w:r>
            <w:r w:rsidR="00332D36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;</w:t>
            </w: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5305FA" w:rsidRPr="0096162D" w:rsidRDefault="005305FA" w:rsidP="002E0AD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Lista de avocaţi instr</w:t>
            </w:r>
            <w:r w:rsidR="000375D9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uiţi propusă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</w:t>
            </w:r>
            <w:r w:rsidR="000375D9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spre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aprobare de către CNAJGS în calitate de trainer</w:t>
            </w:r>
            <w:r w:rsidR="006C650D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i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oficiali în cadrul sistemulu</w:t>
            </w:r>
            <w:r w:rsidR="006C650D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i de asistenţă juridică garantată de stat</w:t>
            </w:r>
            <w:r w:rsidR="00332D36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6C650D" w:rsidRPr="0096162D" w:rsidRDefault="000375D9" w:rsidP="002E0AD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Avocaţii instruiţi propuşi ca traineri în cadrul </w:t>
            </w:r>
            <w:r w:rsidR="00332D36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instruirilor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organizate de către CNAJGS, inclusiv prin intermediul INJ şi alţi parteneri de dezvoltare ai CNAJGS </w:t>
            </w:r>
          </w:p>
        </w:tc>
      </w:tr>
    </w:tbl>
    <w:p w:rsidR="00672F54" w:rsidRPr="0096162D" w:rsidRDefault="00672F54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904"/>
      </w:tblGrid>
      <w:tr w:rsidR="002E0ADE" w:rsidRPr="0096162D" w:rsidTr="00A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332D36" w:rsidRPr="0096162D" w:rsidRDefault="00332D36" w:rsidP="002E0ADE">
            <w:pPr>
              <w:spacing w:line="276" w:lineRule="auto"/>
              <w:jc w:val="both"/>
              <w:rPr>
                <w:rFonts w:cstheme="minorHAnsi"/>
                <w:b w:val="0"/>
                <w:color w:val="0F243E" w:themeColor="text2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Obiectiv 3.</w:t>
            </w:r>
          </w:p>
          <w:p w:rsidR="00332D36" w:rsidRPr="0096162D" w:rsidRDefault="00332D36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332D36" w:rsidRPr="0096162D" w:rsidRDefault="00A43C90" w:rsidP="002E0ADE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Consolidarea abilităţilor profesionale ale avocaţilor </w:t>
            </w:r>
            <w:r w:rsidR="00B85EB0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ce acordă AJGS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 pe cauzele cu implicarea copiilor  </w:t>
            </w:r>
            <w:r w:rsidRPr="0096162D">
              <w:rPr>
                <w:rFonts w:asciiTheme="majorHAnsi" w:hAnsiTheme="majorHAnsi"/>
                <w:bCs w:val="0"/>
                <w:color w:val="244061" w:themeColor="accent1" w:themeShade="80"/>
                <w:sz w:val="20"/>
                <w:szCs w:val="20"/>
                <w:lang w:val="ro-RO"/>
              </w:rPr>
              <w:t>în conflict cu legea, victime şi martori ale infracţiunilor;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332D36" w:rsidRPr="0096162D" w:rsidRDefault="00B85EB0" w:rsidP="002E0AD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Elaborarea </w:t>
            </w:r>
            <w:proofErr w:type="spellStart"/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curriculei</w:t>
            </w:r>
            <w:proofErr w:type="spellEnd"/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de instruire pentru avocaţii ce acordă AJGS pe cauzele cu implicarea </w:t>
            </w: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copiilor  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în conflict cu legea, victime şi martori ale infracţiunilor;</w:t>
            </w: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332D36" w:rsidRPr="0096162D" w:rsidRDefault="00B85EB0" w:rsidP="002E0AD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Desfăşurarea a 3 cursuri de instruire pentru avocaţi cu privire la acordarea AJGS pe cauzele cu implicarea </w:t>
            </w: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copiilor  </w:t>
            </w: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în conflict cu legea, victime şi martori ale infracţiunilor;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332D36" w:rsidRPr="0096162D" w:rsidRDefault="00830202" w:rsidP="002E0AD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Stabilirea unui dialog </w:t>
            </w:r>
            <w:r w:rsidR="007F34D4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cu Institutul Naţional al Justiţiei în vederea utilizării  </w:t>
            </w:r>
            <w:proofErr w:type="spellStart"/>
            <w:r w:rsidR="007F34D4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curriculei</w:t>
            </w:r>
            <w:proofErr w:type="spellEnd"/>
            <w:r w:rsidR="007F34D4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 xml:space="preserve"> de instruire pentru avocaţii ce acordă AJGS pe cauzele cu implicarea </w:t>
            </w:r>
            <w:r w:rsidR="007F34D4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copiilor  </w:t>
            </w:r>
            <w:r w:rsidR="007F34D4" w:rsidRPr="0096162D">
              <w:rPr>
                <w:rFonts w:asciiTheme="majorHAnsi" w:hAnsiTheme="majorHAnsi"/>
                <w:b w:val="0"/>
                <w:bCs w:val="0"/>
                <w:color w:val="244061" w:themeColor="accent1" w:themeShade="80"/>
                <w:sz w:val="20"/>
                <w:szCs w:val="20"/>
                <w:lang w:val="ro-RO"/>
              </w:rPr>
              <w:t>în conflict cu legea, victime şi martori ale infracţiunilor la viitoarele cursuri de instruire continuă.</w:t>
            </w:r>
          </w:p>
        </w:tc>
      </w:tr>
    </w:tbl>
    <w:p w:rsidR="00332D36" w:rsidRPr="0096162D" w:rsidRDefault="00332D36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p w:rsidR="00935274" w:rsidRPr="0096162D" w:rsidRDefault="00935274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904"/>
      </w:tblGrid>
      <w:tr w:rsidR="002E0ADE" w:rsidRPr="0096162D" w:rsidTr="00A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7F34D4" w:rsidRPr="0096162D" w:rsidRDefault="007F34D4" w:rsidP="002E0ADE">
            <w:pPr>
              <w:spacing w:line="276" w:lineRule="auto"/>
              <w:jc w:val="both"/>
              <w:rPr>
                <w:rFonts w:cstheme="minorHAnsi"/>
                <w:b w:val="0"/>
                <w:color w:val="0F243E" w:themeColor="text2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lastRenderedPageBreak/>
              <w:t>Obiectiv 4.</w:t>
            </w:r>
          </w:p>
          <w:p w:rsidR="007F34D4" w:rsidRPr="0096162D" w:rsidRDefault="007F34D4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7F34D4" w:rsidRPr="0096162D" w:rsidRDefault="00935274" w:rsidP="002E0ADE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Consolidarea abilităţilor de interacţiune a avocaţilor cu alţi reprezentanţi (</w:t>
            </w:r>
            <w:r w:rsidR="002315D5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mediatori, 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consilieri de probaţiune,</w:t>
            </w:r>
            <w:r w:rsidR="002315D5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315D5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parajurişti</w:t>
            </w:r>
            <w:proofErr w:type="spellEnd"/>
            <w:r w:rsidR="002315D5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, reprezentanţii APL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) ce lucrează cu şi pentru copiii în conflict cu legea</w:t>
            </w:r>
            <w:r w:rsidR="002315D5"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>,</w:t>
            </w: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 </w:t>
            </w:r>
            <w:r w:rsidRPr="0096162D">
              <w:rPr>
                <w:rFonts w:asciiTheme="majorHAnsi" w:hAnsiTheme="majorHAnsi"/>
                <w:bCs w:val="0"/>
                <w:color w:val="244061" w:themeColor="accent1" w:themeShade="80"/>
                <w:sz w:val="20"/>
                <w:szCs w:val="20"/>
                <w:lang w:val="ro-RO"/>
              </w:rPr>
              <w:t>victime şi martori ale infracţiunilor</w:t>
            </w:r>
            <w:r w:rsidR="002315D5" w:rsidRPr="0096162D">
              <w:rPr>
                <w:rFonts w:asciiTheme="majorHAnsi" w:hAnsiTheme="majorHAnsi"/>
                <w:bCs w:val="0"/>
                <w:color w:val="244061" w:themeColor="accent1" w:themeShade="80"/>
                <w:sz w:val="20"/>
                <w:szCs w:val="20"/>
                <w:lang w:val="ro-RO"/>
              </w:rPr>
              <w:t>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2315D5" w:rsidRPr="0096162D" w:rsidRDefault="002315D5" w:rsidP="002E0A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Desfăşurarea a 3 Ateliere de instruire </w:t>
            </w:r>
            <w:r w:rsidR="00DD3B6C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bazate pe grupuri mixte cu privire la consolidarea abilităţilor de interacţiune între avocaţi, mediatori, consilieri de probaţiune, </w:t>
            </w:r>
            <w:proofErr w:type="spellStart"/>
            <w:r w:rsidR="00DD3B6C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parajurişti</w:t>
            </w:r>
            <w:proofErr w:type="spellEnd"/>
            <w:r w:rsidR="00DD3B6C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, reprezentanţii APL şi angajaţi ai Oficiilor teritoriale ale CNAJGS pe cauzele ce implică copiii în conflict cu legea</w:t>
            </w:r>
            <w:r w:rsidR="00760DF6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.</w:t>
            </w:r>
          </w:p>
        </w:tc>
      </w:tr>
    </w:tbl>
    <w:p w:rsidR="007F34D4" w:rsidRPr="0096162D" w:rsidRDefault="007F34D4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904"/>
      </w:tblGrid>
      <w:tr w:rsidR="002E0ADE" w:rsidRPr="0096162D" w:rsidTr="00A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760DF6" w:rsidRPr="0096162D" w:rsidRDefault="00760DF6" w:rsidP="002E0ADE">
            <w:pPr>
              <w:spacing w:line="276" w:lineRule="auto"/>
              <w:jc w:val="both"/>
              <w:rPr>
                <w:rFonts w:cstheme="minorHAnsi"/>
                <w:b w:val="0"/>
                <w:color w:val="0F243E" w:themeColor="text2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Obiectiv 5.</w:t>
            </w:r>
          </w:p>
          <w:p w:rsidR="00760DF6" w:rsidRPr="0096162D" w:rsidRDefault="00760DF6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760DF6" w:rsidRPr="0096162D" w:rsidRDefault="00760DF6" w:rsidP="002E0ADE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ro-RO"/>
              </w:rPr>
              <w:t xml:space="preserve">Monitorizarea calităţii asistenţei juridice garantate de stat prestate copiilor </w:t>
            </w:r>
            <w:r w:rsidRPr="0096162D">
              <w:rPr>
                <w:rFonts w:asciiTheme="majorHAnsi" w:hAnsiTheme="majorHAnsi"/>
                <w:bCs w:val="0"/>
                <w:color w:val="244061" w:themeColor="accent1" w:themeShade="80"/>
                <w:sz w:val="20"/>
                <w:szCs w:val="20"/>
                <w:lang w:val="ro-RO"/>
              </w:rPr>
              <w:t>în conflict cu legea, victime şi martori ale infracţiunilor</w:t>
            </w:r>
            <w:r w:rsidR="00E304FE" w:rsidRPr="0096162D">
              <w:rPr>
                <w:rFonts w:asciiTheme="majorHAnsi" w:hAnsiTheme="majorHAnsi"/>
                <w:bCs w:val="0"/>
                <w:color w:val="244061" w:themeColor="accent1" w:themeShade="80"/>
                <w:sz w:val="20"/>
                <w:szCs w:val="20"/>
                <w:lang w:val="ro-RO"/>
              </w:rPr>
              <w:t>.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760DF6" w:rsidRPr="0096162D" w:rsidRDefault="00760DF6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Pretestarea mecanismului de monitorizare externă a calităţii asistenţei juridice garantate de stat (10 cauze a 2 avocaţi);</w:t>
            </w: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760DF6" w:rsidRPr="0096162D" w:rsidRDefault="00E304FE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M</w:t>
            </w:r>
            <w:r w:rsidR="005D163B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onitorizarea externă a calităţii asistenţei juridice garantate de stat (50 cauze a 10 avocaţi</w:t>
            </w: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 OT Chişinău şi OT Bălţi</w:t>
            </w:r>
            <w:r w:rsidR="005D163B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);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5D163B" w:rsidRPr="0096162D" w:rsidRDefault="005D163B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Desfăşurarea vizitei de studiu în Scoţia cu </w:t>
            </w:r>
            <w:r w:rsidR="00B678A5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scopul de a revizui mecanismul de monitorizare</w:t>
            </w:r>
            <w:r w:rsidR="00E304FE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 a calităţii</w:t>
            </w:r>
            <w:r w:rsidR="00B678A5"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 xml:space="preserve"> implementat şi adaptarea acestuia condiţiilor Republicii Moldova;</w:t>
            </w: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B678A5" w:rsidRPr="0096162D" w:rsidRDefault="00B678A5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Elaborarea Raportului final de către un monitor cu înserarea recomandărilor, luat în considerare de către CNAJGS.</w:t>
            </w:r>
          </w:p>
        </w:tc>
      </w:tr>
    </w:tbl>
    <w:p w:rsidR="00760DF6" w:rsidRPr="0096162D" w:rsidRDefault="00760DF6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904"/>
      </w:tblGrid>
      <w:tr w:rsidR="002E0ADE" w:rsidRPr="0096162D" w:rsidTr="00A6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E7FA7" w:rsidRPr="0096162D" w:rsidRDefault="000E7FA7" w:rsidP="002E0ADE">
            <w:pPr>
              <w:spacing w:line="276" w:lineRule="auto"/>
              <w:jc w:val="both"/>
              <w:rPr>
                <w:rFonts w:cstheme="minorHAnsi"/>
                <w:b w:val="0"/>
                <w:color w:val="0F243E" w:themeColor="text2" w:themeShade="80"/>
                <w:sz w:val="20"/>
                <w:szCs w:val="20"/>
                <w:u w:val="single"/>
                <w:lang w:val="ro-RO"/>
              </w:rPr>
            </w:pPr>
            <w:r w:rsidRPr="0096162D">
              <w:rPr>
                <w:rFonts w:cstheme="minorHAnsi"/>
                <w:color w:val="0F243E" w:themeColor="text2" w:themeShade="80"/>
                <w:sz w:val="20"/>
                <w:szCs w:val="20"/>
                <w:u w:val="single"/>
                <w:lang w:val="ro-RO"/>
              </w:rPr>
              <w:t>Rezultatele calitative.</w:t>
            </w:r>
          </w:p>
          <w:p w:rsidR="000E7FA7" w:rsidRPr="0096162D" w:rsidRDefault="000E7FA7" w:rsidP="002E0ADE">
            <w:pPr>
              <w:jc w:val="both"/>
              <w:rPr>
                <w:rFonts w:cstheme="min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E7FA7" w:rsidRPr="0096162D" w:rsidRDefault="000E7FA7" w:rsidP="002E0A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Instituţionalizarea în cadrul sistemului de asistenţă juridică garantată de stat a standardelor de calitate privind acordarea asistenţei juridice garantate de stat copiilor în contact cu legea;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E7FA7" w:rsidRPr="0096162D" w:rsidRDefault="000E7FA7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Avocaţi instruiţi de către un grup de formatori cu privire la standardele de calitate;</w:t>
            </w:r>
          </w:p>
        </w:tc>
      </w:tr>
      <w:tr w:rsidR="002E0ADE" w:rsidRPr="0096162D" w:rsidTr="00A6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E7FA7" w:rsidRPr="0096162D" w:rsidRDefault="000E7FA7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Elaborarea şi instituţionalizarea instrumentelor de  monitorizare a calităţii asistenţei juridice garantate de stat prestate pe cauzele penale cu implicarea copiilor;</w:t>
            </w:r>
          </w:p>
        </w:tc>
      </w:tr>
      <w:tr w:rsidR="002E0ADE" w:rsidRPr="0096162D" w:rsidTr="00A6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:rsidR="000E7FA7" w:rsidRPr="0096162D" w:rsidRDefault="000E7FA7" w:rsidP="002E0A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</w:pPr>
            <w:r w:rsidRPr="0096162D">
              <w:rPr>
                <w:rFonts w:asciiTheme="majorHAnsi" w:hAnsiTheme="majorHAnsi"/>
                <w:b w:val="0"/>
                <w:color w:val="244061" w:themeColor="accent1" w:themeShade="80"/>
                <w:sz w:val="20"/>
                <w:szCs w:val="20"/>
                <w:lang w:val="ro-RO"/>
              </w:rPr>
              <w:t>Mediatizarea în rândul cetăţenilor cu privire la dreptul la asistenţă juridică garantată de stat.</w:t>
            </w:r>
          </w:p>
        </w:tc>
      </w:tr>
    </w:tbl>
    <w:p w:rsidR="000E7FA7" w:rsidRPr="0096162D" w:rsidRDefault="000E7FA7" w:rsidP="002E0ADE">
      <w:pPr>
        <w:jc w:val="both"/>
        <w:rPr>
          <w:rFonts w:asciiTheme="majorHAnsi" w:hAnsiTheme="majorHAnsi" w:cstheme="minorHAnsi"/>
          <w:b/>
          <w:color w:val="244061" w:themeColor="accent1" w:themeShade="80"/>
          <w:sz w:val="20"/>
          <w:szCs w:val="20"/>
          <w:lang w:val="ro-RO"/>
        </w:rPr>
      </w:pPr>
    </w:p>
    <w:sectPr w:rsidR="000E7FA7" w:rsidRPr="0096162D" w:rsidSect="009F60A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536"/>
    <w:multiLevelType w:val="hybridMultilevel"/>
    <w:tmpl w:val="29FC0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146"/>
    <w:multiLevelType w:val="hybridMultilevel"/>
    <w:tmpl w:val="8B909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D32E5"/>
    <w:multiLevelType w:val="hybridMultilevel"/>
    <w:tmpl w:val="83748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53A9A"/>
    <w:multiLevelType w:val="hybridMultilevel"/>
    <w:tmpl w:val="E6BC6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5C2D"/>
    <w:multiLevelType w:val="hybridMultilevel"/>
    <w:tmpl w:val="CA827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6B"/>
    <w:rsid w:val="000375D9"/>
    <w:rsid w:val="00054C79"/>
    <w:rsid w:val="00066BB4"/>
    <w:rsid w:val="00071D41"/>
    <w:rsid w:val="000737C3"/>
    <w:rsid w:val="000E7FA7"/>
    <w:rsid w:val="002055D6"/>
    <w:rsid w:val="002315D5"/>
    <w:rsid w:val="002E0ADE"/>
    <w:rsid w:val="00332D36"/>
    <w:rsid w:val="0036446C"/>
    <w:rsid w:val="004E18BA"/>
    <w:rsid w:val="005305FA"/>
    <w:rsid w:val="005D163B"/>
    <w:rsid w:val="00660D9E"/>
    <w:rsid w:val="00672F54"/>
    <w:rsid w:val="006C650D"/>
    <w:rsid w:val="00760DF6"/>
    <w:rsid w:val="007A5A41"/>
    <w:rsid w:val="007F34D4"/>
    <w:rsid w:val="0080043F"/>
    <w:rsid w:val="00830202"/>
    <w:rsid w:val="00935274"/>
    <w:rsid w:val="0096162D"/>
    <w:rsid w:val="009A3B98"/>
    <w:rsid w:val="009A6851"/>
    <w:rsid w:val="009F60AA"/>
    <w:rsid w:val="00A43C90"/>
    <w:rsid w:val="00AF68DE"/>
    <w:rsid w:val="00B678A5"/>
    <w:rsid w:val="00B85EB0"/>
    <w:rsid w:val="00BA696B"/>
    <w:rsid w:val="00D8110F"/>
    <w:rsid w:val="00DD3B6C"/>
    <w:rsid w:val="00DF6D6F"/>
    <w:rsid w:val="00E21B1F"/>
    <w:rsid w:val="00E304FE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5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F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672F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D811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2">
    <w:name w:val="Medium Shading 1 Accent 2"/>
    <w:basedOn w:val="TableNormal"/>
    <w:uiPriority w:val="63"/>
    <w:rsid w:val="00D8110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D811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List1-Accent2">
    <w:name w:val="Medium List 1 Accent 2"/>
    <w:basedOn w:val="TableNormal"/>
    <w:uiPriority w:val="65"/>
    <w:rsid w:val="00AF68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AF68D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4E18BA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E18BA"/>
    <w:rPr>
      <w:rFonts w:ascii="Verdana" w:eastAsia="Times New Roman" w:hAnsi="Verdana" w:cs="Times New Roman"/>
      <w:b/>
      <w:bCs/>
      <w:sz w:val="20"/>
      <w:szCs w:val="20"/>
      <w:lang w:eastAsia="x-none"/>
    </w:rPr>
  </w:style>
  <w:style w:type="paragraph" w:styleId="NoSpacing">
    <w:name w:val="No Spacing"/>
    <w:uiPriority w:val="1"/>
    <w:qFormat/>
    <w:rsid w:val="004E18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5305FA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23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5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F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672F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D811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2">
    <w:name w:val="Medium Shading 1 Accent 2"/>
    <w:basedOn w:val="TableNormal"/>
    <w:uiPriority w:val="63"/>
    <w:rsid w:val="00D8110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D811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List1-Accent2">
    <w:name w:val="Medium List 1 Accent 2"/>
    <w:basedOn w:val="TableNormal"/>
    <w:uiPriority w:val="65"/>
    <w:rsid w:val="00AF68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AF68D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4E18BA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E18BA"/>
    <w:rPr>
      <w:rFonts w:ascii="Verdana" w:eastAsia="Times New Roman" w:hAnsi="Verdana" w:cs="Times New Roman"/>
      <w:b/>
      <w:bCs/>
      <w:sz w:val="20"/>
      <w:szCs w:val="20"/>
      <w:lang w:eastAsia="x-none"/>
    </w:rPr>
  </w:style>
  <w:style w:type="paragraph" w:styleId="NoSpacing">
    <w:name w:val="No Spacing"/>
    <w:uiPriority w:val="1"/>
    <w:qFormat/>
    <w:rsid w:val="004E18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5305FA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23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5E66-5C16-4DF3-9665-B146F6A5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Rabei</dc:creator>
  <cp:keywords/>
  <dc:description/>
  <cp:lastModifiedBy>Olga Rabei</cp:lastModifiedBy>
  <cp:revision>6</cp:revision>
  <cp:lastPrinted>2014-09-10T09:00:00Z</cp:lastPrinted>
  <dcterms:created xsi:type="dcterms:W3CDTF">2014-09-10T07:49:00Z</dcterms:created>
  <dcterms:modified xsi:type="dcterms:W3CDTF">2014-09-12T15:22:00Z</dcterms:modified>
</cp:coreProperties>
</file>